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665"/>
        <w:gridCol w:w="7695"/>
      </w:tblGrid>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sz w:val="24"/>
                <w:rtl w:val="0"/>
              </w:rPr>
              <w:t xml:space="preserve">Name</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sz w:val="24"/>
                <w:rtl w:val="0"/>
              </w:rPr>
              <w:t xml:space="preserve">Class/Period</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sz w:val="24"/>
                <w:rtl w:val="0"/>
              </w:rPr>
              <w:t xml:space="preserve">Date</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sz w:val="24"/>
          <w:rtl w:val="0"/>
        </w:rPr>
        <w:t xml:space="preserve">To Kill a Mockingbird</w:t>
      </w:r>
      <w:r w:rsidRPr="00000000" w:rsidR="00000000" w:rsidDel="00000000">
        <w:rPr>
          <w:b w:val="1"/>
          <w:sz w:val="24"/>
          <w:rtl w:val="0"/>
        </w:rPr>
        <w:t xml:space="preserve"> by Harper Lee</w:t>
      </w:r>
    </w:p>
    <w:p w:rsidP="00000000" w:rsidRPr="00000000" w:rsidR="00000000" w:rsidDel="00000000" w:rsidRDefault="00000000">
      <w:pPr/>
      <w:r w:rsidRPr="00000000" w:rsidR="00000000" w:rsidDel="00000000">
        <w:rPr>
          <w:b w:val="1"/>
          <w:sz w:val="24"/>
          <w:rtl w:val="0"/>
        </w:rPr>
        <w:t xml:space="preserve">Chapters 29-31 Questions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u w:val="single"/>
          <w:rtl w:val="0"/>
        </w:rPr>
        <w:t xml:space="preserve">Part I: Vocabulary</w:t>
      </w:r>
    </w:p>
    <w:p w:rsidP="00000000" w:rsidRPr="00000000" w:rsidR="00000000" w:rsidDel="00000000" w:rsidRDefault="00000000">
      <w:pPr/>
      <w:r w:rsidRPr="00000000" w:rsidR="00000000" w:rsidDel="00000000">
        <w:rPr>
          <w:sz w:val="24"/>
          <w:rtl w:val="0"/>
        </w:rPr>
        <w:t xml:space="preserve">Directions: Define the following words.  Use Google if a dictionary does not help.</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40"/>
        <w:gridCol w:w="2340"/>
        <w:gridCol w:w="2340"/>
        <w:gridCol w:w="2340"/>
      </w:tblGrid>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sz w:val="24"/>
                <w:rtl w:val="0"/>
              </w:rPr>
              <w:t xml:space="preserve">turmoil</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sz w:val="24"/>
                <w:rtl w:val="0"/>
              </w:rPr>
              <w:t xml:space="preserve">eluded</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sz w:val="24"/>
                <w:rtl w:val="0"/>
              </w:rPr>
              <w:t xml:space="preserve">perforated</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sz w:val="24"/>
                <w:rtl w:val="0"/>
              </w:rPr>
              <w:t xml:space="preserve">puncture</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sz w:val="24"/>
                <w:rtl w:val="0"/>
              </w:rPr>
              <w:t xml:space="preserve">raling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sz w:val="24"/>
                <w:rtl w:val="0"/>
              </w:rPr>
              <w:t xml:space="preserve">blandly</w:t>
            </w:r>
          </w:p>
        </w:tc>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u w:val="single"/>
          <w:rtl w:val="0"/>
        </w:rPr>
        <w:t xml:space="preserve">Part II: Questions</w:t>
      </w:r>
    </w:p>
    <w:p w:rsidP="00000000" w:rsidRPr="00000000" w:rsidR="00000000" w:rsidDel="00000000" w:rsidRDefault="00000000">
      <w:pPr/>
      <w:r w:rsidRPr="00000000" w:rsidR="00000000" w:rsidDel="00000000">
        <w:rPr>
          <w:sz w:val="24"/>
          <w:rtl w:val="0"/>
        </w:rPr>
        <w:t xml:space="preserve">Directions: Type your answers in the boxes below each question, or answer them on a separate piece of paper.  </w:t>
      </w:r>
      <w:r w:rsidRPr="00000000" w:rsidR="00000000" w:rsidDel="00000000">
        <w:rPr>
          <w:b w:val="1"/>
          <w:sz w:val="24"/>
          <w:highlight w:val="yellow"/>
          <w:u w:val="single"/>
          <w:rtl w:val="0"/>
        </w:rPr>
        <w:t xml:space="preserve">All answers must be in full sentences.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 How did Bob Ewell die?</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2. Thinking that Jem was the killer, Atticus was unwilling to go along with the story that Ewell had fallen on his knife.  Why not?</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3. Actually, Mr. Tate made up the story about Ewell falling on his knife to protect someone else.  Explain who he was protecting and why.</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4. How did Scout act when she took Boo Radley home?  How did she feel?</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5. As Scout looked out from the Radley porch, she regretted that the children never gave Boo anything in return for his gifts.  Actually, they did give Boo something.  What was it (Hint: it is not tangible)?</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TKM 29-31.docx</dc:title>
</cp:coreProperties>
</file>